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受宁波明洲投资集团有限公司委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于2026年4月7日9时起至2026年5月29日9时止</w:t>
      </w:r>
      <w:r>
        <w:rPr>
          <w:rFonts w:hint="eastAsia" w:ascii="宋体" w:hAnsi="宋体" w:eastAsia="宋体" w:cs="宋体"/>
          <w:b/>
          <w:bCs/>
          <w:color w:val="auto"/>
          <w:sz w:val="24"/>
          <w:szCs w:val="24"/>
        </w:rPr>
        <w:t>（延时除外）在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031" w:type="pct"/>
        <w:tblInd w:w="0" w:type="dxa"/>
        <w:tblLayout w:type="fixed"/>
        <w:tblCellMar>
          <w:top w:w="0" w:type="dxa"/>
          <w:left w:w="108" w:type="dxa"/>
          <w:bottom w:w="0" w:type="dxa"/>
          <w:right w:w="108" w:type="dxa"/>
        </w:tblCellMar>
      </w:tblPr>
      <w:tblGrid>
        <w:gridCol w:w="937"/>
        <w:gridCol w:w="1974"/>
        <w:gridCol w:w="1039"/>
        <w:gridCol w:w="1740"/>
        <w:gridCol w:w="1764"/>
        <w:gridCol w:w="1556"/>
        <w:gridCol w:w="1013"/>
      </w:tblGrid>
      <w:tr w14:paraId="72FD1744">
        <w:tblPrEx>
          <w:tblCellMar>
            <w:top w:w="0" w:type="dxa"/>
            <w:left w:w="108" w:type="dxa"/>
            <w:bottom w:w="0" w:type="dxa"/>
            <w:right w:w="108" w:type="dxa"/>
          </w:tblCellMar>
        </w:tblPrEx>
        <w:trPr>
          <w:trHeight w:val="1188" w:hRule="atLeast"/>
        </w:trPr>
        <w:tc>
          <w:tcPr>
            <w:tcW w:w="467" w:type="pct"/>
            <w:tcBorders>
              <w:top w:val="single" w:color="auto" w:sz="4" w:space="0"/>
              <w:left w:val="single" w:color="auto" w:sz="4" w:space="0"/>
              <w:bottom w:val="single" w:color="auto" w:sz="4" w:space="0"/>
              <w:right w:val="single" w:color="auto" w:sz="4" w:space="0"/>
            </w:tcBorders>
            <w:noWrap w:val="0"/>
            <w:vAlign w:val="center"/>
          </w:tcPr>
          <w:p w14:paraId="4103513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984" w:type="pct"/>
            <w:tcBorders>
              <w:top w:val="single" w:color="auto" w:sz="4" w:space="0"/>
              <w:left w:val="nil"/>
              <w:bottom w:val="single" w:color="auto" w:sz="4" w:space="0"/>
              <w:right w:val="single" w:color="auto" w:sz="4" w:space="0"/>
            </w:tcBorders>
            <w:noWrap w:val="0"/>
            <w:vAlign w:val="center"/>
          </w:tcPr>
          <w:p w14:paraId="00D8CEF7">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518" w:type="pct"/>
            <w:tcBorders>
              <w:top w:val="single" w:color="auto" w:sz="4" w:space="0"/>
              <w:left w:val="nil"/>
              <w:bottom w:val="single" w:color="auto" w:sz="4" w:space="0"/>
              <w:right w:val="single" w:color="auto" w:sz="4" w:space="0"/>
            </w:tcBorders>
            <w:noWrap w:val="0"/>
            <w:vAlign w:val="center"/>
          </w:tcPr>
          <w:p w14:paraId="3EFABEB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用途</w:t>
            </w:r>
          </w:p>
        </w:tc>
        <w:tc>
          <w:tcPr>
            <w:tcW w:w="868" w:type="pct"/>
            <w:tcBorders>
              <w:top w:val="single" w:color="auto" w:sz="4" w:space="0"/>
              <w:left w:val="nil"/>
              <w:bottom w:val="single" w:color="auto" w:sz="4" w:space="0"/>
              <w:right w:val="single" w:color="auto" w:sz="4" w:space="0"/>
            </w:tcBorders>
            <w:noWrap w:val="0"/>
            <w:vAlign w:val="center"/>
          </w:tcPr>
          <w:p w14:paraId="480EE1F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出租</w:t>
            </w:r>
            <w:r>
              <w:rPr>
                <w:rFonts w:hint="eastAsia" w:ascii="宋体" w:hAnsi="宋体" w:cs="宋体"/>
                <w:color w:val="000000"/>
                <w:kern w:val="0"/>
                <w:sz w:val="24"/>
                <w:szCs w:val="20"/>
                <w:highlight w:val="none"/>
              </w:rPr>
              <w:t>面积（平方米）</w:t>
            </w:r>
          </w:p>
        </w:tc>
        <w:tc>
          <w:tcPr>
            <w:tcW w:w="879" w:type="pct"/>
            <w:tcBorders>
              <w:top w:val="single" w:color="auto" w:sz="4" w:space="0"/>
              <w:left w:val="nil"/>
              <w:bottom w:val="single" w:color="auto" w:sz="4" w:space="0"/>
              <w:right w:val="single" w:color="auto" w:sz="4" w:space="0"/>
            </w:tcBorders>
            <w:noWrap w:val="0"/>
            <w:vAlign w:val="center"/>
          </w:tcPr>
          <w:p w14:paraId="7F33BB2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776" w:type="pct"/>
            <w:tcBorders>
              <w:top w:val="single" w:color="auto" w:sz="4" w:space="0"/>
              <w:left w:val="nil"/>
              <w:bottom w:val="single" w:color="auto" w:sz="4" w:space="0"/>
              <w:right w:val="single" w:color="auto" w:sz="4" w:space="0"/>
            </w:tcBorders>
            <w:noWrap w:val="0"/>
            <w:vAlign w:val="center"/>
          </w:tcPr>
          <w:p w14:paraId="000559A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505" w:type="pct"/>
            <w:tcBorders>
              <w:top w:val="single" w:color="auto" w:sz="4" w:space="0"/>
              <w:left w:val="nil"/>
              <w:bottom w:val="single" w:color="auto" w:sz="4" w:space="0"/>
              <w:right w:val="single" w:color="auto" w:sz="4" w:space="0"/>
            </w:tcBorders>
            <w:noWrap/>
            <w:vAlign w:val="center"/>
          </w:tcPr>
          <w:p w14:paraId="1A1D79CB">
            <w:pPr>
              <w:keepNext w:val="0"/>
              <w:keepLines w:val="0"/>
              <w:suppressLineNumbers w:val="0"/>
              <w:spacing w:before="0" w:beforeAutospacing="0" w:after="0" w:afterAutospacing="0" w:line="260" w:lineRule="exact"/>
              <w:ind w:left="0" w:right="200"/>
              <w:jc w:val="center"/>
              <w:rPr>
                <w:rFonts w:hint="eastAsia" w:ascii="宋体" w:hAnsi="宋体" w:cs="宋体"/>
                <w:color w:val="000000"/>
                <w:sz w:val="24"/>
                <w:szCs w:val="20"/>
                <w:highlight w:val="none"/>
              </w:rPr>
            </w:pPr>
            <w:r>
              <w:rPr>
                <w:rFonts w:hint="eastAsia" w:ascii="宋体" w:hAnsi="宋体" w:cs="宋体"/>
                <w:color w:val="000000"/>
                <w:sz w:val="24"/>
                <w:szCs w:val="20"/>
                <w:highlight w:val="none"/>
              </w:rPr>
              <w:t>租期</w:t>
            </w:r>
          </w:p>
        </w:tc>
      </w:tr>
      <w:tr w14:paraId="79643431">
        <w:tblPrEx>
          <w:tblCellMar>
            <w:top w:w="0" w:type="dxa"/>
            <w:left w:w="108" w:type="dxa"/>
            <w:bottom w:w="0" w:type="dxa"/>
            <w:right w:w="108" w:type="dxa"/>
          </w:tblCellMar>
        </w:tblPrEx>
        <w:trPr>
          <w:trHeight w:val="1208" w:hRule="atLeast"/>
        </w:trPr>
        <w:tc>
          <w:tcPr>
            <w:tcW w:w="467" w:type="pct"/>
            <w:tcBorders>
              <w:top w:val="nil"/>
              <w:left w:val="single" w:color="auto" w:sz="8" w:space="0"/>
              <w:bottom w:val="single" w:color="auto" w:sz="4" w:space="0"/>
              <w:right w:val="single" w:color="auto" w:sz="8" w:space="0"/>
            </w:tcBorders>
            <w:noWrap w:val="0"/>
            <w:vAlign w:val="center"/>
          </w:tcPr>
          <w:p w14:paraId="46D31B3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984" w:type="pct"/>
            <w:tcBorders>
              <w:top w:val="nil"/>
              <w:left w:val="nil"/>
              <w:bottom w:val="single" w:color="auto" w:sz="4" w:space="0"/>
              <w:right w:val="single" w:color="auto" w:sz="8" w:space="0"/>
            </w:tcBorders>
            <w:noWrap w:val="0"/>
            <w:vAlign w:val="center"/>
          </w:tcPr>
          <w:p w14:paraId="2765CB3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仓基弄1号401室</w:t>
            </w:r>
          </w:p>
        </w:tc>
        <w:tc>
          <w:tcPr>
            <w:tcW w:w="518" w:type="pct"/>
            <w:tcBorders>
              <w:top w:val="nil"/>
              <w:left w:val="nil"/>
              <w:bottom w:val="single" w:color="auto" w:sz="4" w:space="0"/>
              <w:right w:val="single" w:color="auto" w:sz="8" w:space="0"/>
            </w:tcBorders>
            <w:noWrap w:val="0"/>
            <w:vAlign w:val="center"/>
          </w:tcPr>
          <w:p w14:paraId="4DF87015">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住宅</w:t>
            </w:r>
          </w:p>
        </w:tc>
        <w:tc>
          <w:tcPr>
            <w:tcW w:w="868" w:type="pct"/>
            <w:tcBorders>
              <w:top w:val="nil"/>
              <w:left w:val="nil"/>
              <w:bottom w:val="single" w:color="auto" w:sz="4" w:space="0"/>
              <w:right w:val="single" w:color="auto" w:sz="8" w:space="0"/>
            </w:tcBorders>
            <w:noWrap w:val="0"/>
            <w:vAlign w:val="center"/>
          </w:tcPr>
          <w:p w14:paraId="3054E3FE">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54.35</w:t>
            </w:r>
          </w:p>
        </w:tc>
        <w:tc>
          <w:tcPr>
            <w:tcW w:w="879" w:type="pct"/>
            <w:tcBorders>
              <w:top w:val="nil"/>
              <w:left w:val="nil"/>
              <w:bottom w:val="single" w:color="auto" w:sz="4" w:space="0"/>
              <w:right w:val="single" w:color="auto" w:sz="8" w:space="0"/>
            </w:tcBorders>
            <w:noWrap w:val="0"/>
            <w:vAlign w:val="center"/>
          </w:tcPr>
          <w:p w14:paraId="3C6E8012">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12900</w:t>
            </w:r>
          </w:p>
        </w:tc>
        <w:tc>
          <w:tcPr>
            <w:tcW w:w="776" w:type="pct"/>
            <w:tcBorders>
              <w:top w:val="nil"/>
              <w:left w:val="nil"/>
              <w:bottom w:val="single" w:color="auto" w:sz="4" w:space="0"/>
              <w:right w:val="nil"/>
            </w:tcBorders>
            <w:noWrap w:val="0"/>
            <w:vAlign w:val="center"/>
          </w:tcPr>
          <w:p w14:paraId="349BE6F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1000</w:t>
            </w:r>
          </w:p>
        </w:tc>
        <w:tc>
          <w:tcPr>
            <w:tcW w:w="505" w:type="pct"/>
            <w:tcBorders>
              <w:top w:val="nil"/>
              <w:left w:val="single" w:color="auto" w:sz="4" w:space="0"/>
              <w:bottom w:val="single" w:color="auto" w:sz="4" w:space="0"/>
              <w:right w:val="single" w:color="auto" w:sz="4" w:space="0"/>
            </w:tcBorders>
            <w:noWrap w:val="0"/>
            <w:vAlign w:val="center"/>
          </w:tcPr>
          <w:p w14:paraId="59CB27EE">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rPr>
            </w:pPr>
            <w:r>
              <w:rPr>
                <w:rFonts w:hint="eastAsia" w:ascii="宋体" w:hAnsi="宋体" w:eastAsia="宋体" w:cs="宋体"/>
                <w:color w:val="000000"/>
                <w:kern w:val="0"/>
                <w:sz w:val="24"/>
                <w:szCs w:val="20"/>
                <w:highlight w:val="none"/>
                <w:lang w:val="en-US" w:eastAsia="zh-CN" w:bidi="ar"/>
              </w:rPr>
              <w:t>3年</w:t>
            </w:r>
          </w:p>
        </w:tc>
      </w:tr>
      <w:tr w14:paraId="51A77EFD">
        <w:tblPrEx>
          <w:tblCellMar>
            <w:top w:w="0" w:type="dxa"/>
            <w:left w:w="108" w:type="dxa"/>
            <w:bottom w:w="0" w:type="dxa"/>
            <w:right w:w="108" w:type="dxa"/>
          </w:tblCellMar>
        </w:tblPrEx>
        <w:trPr>
          <w:trHeight w:val="1208" w:hRule="atLeast"/>
        </w:trPr>
        <w:tc>
          <w:tcPr>
            <w:tcW w:w="467" w:type="pct"/>
            <w:tcBorders>
              <w:top w:val="single" w:color="auto" w:sz="4" w:space="0"/>
              <w:left w:val="single" w:color="auto" w:sz="4" w:space="0"/>
              <w:bottom w:val="single" w:color="auto" w:sz="4" w:space="0"/>
              <w:right w:val="single" w:color="auto" w:sz="8" w:space="0"/>
            </w:tcBorders>
            <w:shd w:val="clear" w:color="auto" w:fill="auto"/>
            <w:noWrap w:val="0"/>
            <w:vAlign w:val="center"/>
          </w:tcPr>
          <w:p w14:paraId="7A560AA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
              </w:rPr>
              <w:t>2</w:t>
            </w:r>
          </w:p>
        </w:tc>
        <w:tc>
          <w:tcPr>
            <w:tcW w:w="984" w:type="pct"/>
            <w:tcBorders>
              <w:top w:val="single" w:color="auto" w:sz="4" w:space="0"/>
              <w:left w:val="nil"/>
              <w:bottom w:val="single" w:color="auto" w:sz="4" w:space="0"/>
              <w:right w:val="single" w:color="auto" w:sz="8" w:space="0"/>
            </w:tcBorders>
            <w:shd w:val="clear" w:color="auto" w:fill="auto"/>
            <w:noWrap w:val="0"/>
            <w:vAlign w:val="center"/>
          </w:tcPr>
          <w:p w14:paraId="408609AB">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镇海区招宝山街道聪园路129号1-46、G-01 室</w:t>
            </w:r>
          </w:p>
        </w:tc>
        <w:tc>
          <w:tcPr>
            <w:tcW w:w="518" w:type="pct"/>
            <w:tcBorders>
              <w:top w:val="single" w:color="auto" w:sz="4" w:space="0"/>
              <w:left w:val="nil"/>
              <w:bottom w:val="single" w:color="auto" w:sz="4" w:space="0"/>
              <w:right w:val="single" w:color="auto" w:sz="8" w:space="0"/>
            </w:tcBorders>
            <w:shd w:val="clear" w:color="auto" w:fill="auto"/>
            <w:noWrap w:val="0"/>
            <w:vAlign w:val="center"/>
          </w:tcPr>
          <w:p w14:paraId="2FBCB3DB">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商业</w:t>
            </w:r>
          </w:p>
        </w:tc>
        <w:tc>
          <w:tcPr>
            <w:tcW w:w="868" w:type="pct"/>
            <w:tcBorders>
              <w:top w:val="single" w:color="auto" w:sz="4" w:space="0"/>
              <w:left w:val="nil"/>
              <w:bottom w:val="single" w:color="auto" w:sz="4" w:space="0"/>
              <w:right w:val="single" w:color="auto" w:sz="8" w:space="0"/>
            </w:tcBorders>
            <w:shd w:val="clear" w:color="auto" w:fill="auto"/>
            <w:noWrap w:val="0"/>
            <w:vAlign w:val="center"/>
          </w:tcPr>
          <w:p w14:paraId="5439047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77.7</w:t>
            </w:r>
          </w:p>
        </w:tc>
        <w:tc>
          <w:tcPr>
            <w:tcW w:w="879" w:type="pct"/>
            <w:tcBorders>
              <w:top w:val="single" w:color="auto" w:sz="4" w:space="0"/>
              <w:left w:val="nil"/>
              <w:bottom w:val="single" w:color="auto" w:sz="4" w:space="0"/>
              <w:right w:val="single" w:color="auto" w:sz="8" w:space="0"/>
            </w:tcBorders>
            <w:shd w:val="clear" w:color="auto" w:fill="auto"/>
            <w:noWrap w:val="0"/>
            <w:vAlign w:val="center"/>
          </w:tcPr>
          <w:p w14:paraId="3DDBE931">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15800</w:t>
            </w:r>
          </w:p>
        </w:tc>
        <w:tc>
          <w:tcPr>
            <w:tcW w:w="776" w:type="pct"/>
            <w:tcBorders>
              <w:top w:val="single" w:color="auto" w:sz="4" w:space="0"/>
              <w:left w:val="nil"/>
              <w:bottom w:val="single" w:color="auto" w:sz="4" w:space="0"/>
              <w:right w:val="nil"/>
            </w:tcBorders>
            <w:shd w:val="clear" w:color="auto" w:fill="auto"/>
            <w:noWrap w:val="0"/>
            <w:vAlign w:val="center"/>
          </w:tcPr>
          <w:p w14:paraId="24E8153B">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2000</w:t>
            </w:r>
          </w:p>
        </w:tc>
        <w:tc>
          <w:tcPr>
            <w:tcW w:w="5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5A374F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4"/>
                <w:szCs w:val="24"/>
                <w:lang w:val="en-US" w:eastAsia="zh-CN" w:bidi="ar"/>
              </w:rPr>
              <w:t>3年</w:t>
            </w:r>
          </w:p>
        </w:tc>
      </w:tr>
      <w:tr w14:paraId="464B40B4">
        <w:tblPrEx>
          <w:tblCellMar>
            <w:top w:w="0" w:type="dxa"/>
            <w:left w:w="108" w:type="dxa"/>
            <w:bottom w:w="0" w:type="dxa"/>
            <w:right w:w="108" w:type="dxa"/>
          </w:tblCellMar>
        </w:tblPrEx>
        <w:trPr>
          <w:trHeight w:val="1208" w:hRule="atLeast"/>
        </w:trPr>
        <w:tc>
          <w:tcPr>
            <w:tcW w:w="467" w:type="pct"/>
            <w:tcBorders>
              <w:top w:val="single" w:color="auto" w:sz="4" w:space="0"/>
              <w:left w:val="single" w:color="auto" w:sz="4" w:space="0"/>
              <w:bottom w:val="single" w:color="auto" w:sz="4" w:space="0"/>
              <w:right w:val="single" w:color="auto" w:sz="8" w:space="0"/>
            </w:tcBorders>
            <w:shd w:val="clear" w:color="auto" w:fill="auto"/>
            <w:noWrap w:val="0"/>
            <w:vAlign w:val="center"/>
          </w:tcPr>
          <w:p w14:paraId="3754B0BF">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
              </w:rPr>
              <w:t>3</w:t>
            </w:r>
          </w:p>
        </w:tc>
        <w:tc>
          <w:tcPr>
            <w:tcW w:w="984" w:type="pct"/>
            <w:tcBorders>
              <w:top w:val="single" w:color="auto" w:sz="4" w:space="0"/>
              <w:left w:val="nil"/>
              <w:bottom w:val="single" w:color="auto" w:sz="4" w:space="0"/>
              <w:right w:val="single" w:color="auto" w:sz="8" w:space="0"/>
            </w:tcBorders>
            <w:shd w:val="clear" w:color="auto" w:fill="auto"/>
            <w:noWrap w:val="0"/>
            <w:vAlign w:val="center"/>
          </w:tcPr>
          <w:p w14:paraId="242766F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镇海区招宝山街道一字河头5号104室</w:t>
            </w:r>
          </w:p>
        </w:tc>
        <w:tc>
          <w:tcPr>
            <w:tcW w:w="518" w:type="pct"/>
            <w:tcBorders>
              <w:top w:val="single" w:color="auto" w:sz="4" w:space="0"/>
              <w:left w:val="nil"/>
              <w:bottom w:val="single" w:color="auto" w:sz="4" w:space="0"/>
              <w:right w:val="single" w:color="auto" w:sz="8" w:space="0"/>
            </w:tcBorders>
            <w:shd w:val="clear" w:color="auto" w:fill="auto"/>
            <w:noWrap w:val="0"/>
            <w:vAlign w:val="center"/>
          </w:tcPr>
          <w:p w14:paraId="677C2214">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住宅</w:t>
            </w:r>
          </w:p>
        </w:tc>
        <w:tc>
          <w:tcPr>
            <w:tcW w:w="868" w:type="pct"/>
            <w:tcBorders>
              <w:top w:val="single" w:color="auto" w:sz="4" w:space="0"/>
              <w:left w:val="nil"/>
              <w:bottom w:val="single" w:color="auto" w:sz="4" w:space="0"/>
              <w:right w:val="single" w:color="auto" w:sz="8" w:space="0"/>
            </w:tcBorders>
            <w:shd w:val="clear" w:color="auto" w:fill="auto"/>
            <w:noWrap w:val="0"/>
            <w:vAlign w:val="center"/>
          </w:tcPr>
          <w:p w14:paraId="344B2B8E">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61.9</w:t>
            </w:r>
          </w:p>
        </w:tc>
        <w:tc>
          <w:tcPr>
            <w:tcW w:w="879" w:type="pct"/>
            <w:tcBorders>
              <w:top w:val="single" w:color="auto" w:sz="4" w:space="0"/>
              <w:left w:val="nil"/>
              <w:bottom w:val="single" w:color="auto" w:sz="4" w:space="0"/>
              <w:right w:val="single" w:color="auto" w:sz="8" w:space="0"/>
            </w:tcBorders>
            <w:shd w:val="clear" w:color="auto" w:fill="auto"/>
            <w:noWrap w:val="0"/>
            <w:vAlign w:val="center"/>
          </w:tcPr>
          <w:p w14:paraId="3E6B646B">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11000</w:t>
            </w:r>
          </w:p>
        </w:tc>
        <w:tc>
          <w:tcPr>
            <w:tcW w:w="776" w:type="pct"/>
            <w:tcBorders>
              <w:top w:val="single" w:color="auto" w:sz="4" w:space="0"/>
              <w:left w:val="nil"/>
              <w:bottom w:val="single" w:color="auto" w:sz="4" w:space="0"/>
              <w:right w:val="nil"/>
            </w:tcBorders>
            <w:shd w:val="clear" w:color="auto" w:fill="auto"/>
            <w:noWrap w:val="0"/>
            <w:vAlign w:val="center"/>
          </w:tcPr>
          <w:p w14:paraId="6822AA0C">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1000</w:t>
            </w:r>
          </w:p>
        </w:tc>
        <w:tc>
          <w:tcPr>
            <w:tcW w:w="5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DCBD4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3年</w:t>
            </w:r>
          </w:p>
        </w:tc>
      </w:tr>
      <w:tr w14:paraId="7B35A290">
        <w:tblPrEx>
          <w:tblCellMar>
            <w:top w:w="0" w:type="dxa"/>
            <w:left w:w="108" w:type="dxa"/>
            <w:bottom w:w="0" w:type="dxa"/>
            <w:right w:w="108" w:type="dxa"/>
          </w:tblCellMar>
        </w:tblPrEx>
        <w:trPr>
          <w:trHeight w:val="1208" w:hRule="atLeast"/>
        </w:trPr>
        <w:tc>
          <w:tcPr>
            <w:tcW w:w="467" w:type="pct"/>
            <w:tcBorders>
              <w:top w:val="single" w:color="auto" w:sz="4" w:space="0"/>
              <w:left w:val="single" w:color="auto" w:sz="4" w:space="0"/>
              <w:bottom w:val="single" w:color="auto" w:sz="4" w:space="0"/>
              <w:right w:val="single" w:color="auto" w:sz="8" w:space="0"/>
            </w:tcBorders>
            <w:shd w:val="clear" w:color="auto" w:fill="auto"/>
            <w:noWrap w:val="0"/>
            <w:vAlign w:val="center"/>
          </w:tcPr>
          <w:p w14:paraId="7ABF5C1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
              </w:rPr>
              <w:t>4</w:t>
            </w:r>
          </w:p>
        </w:tc>
        <w:tc>
          <w:tcPr>
            <w:tcW w:w="984" w:type="pct"/>
            <w:tcBorders>
              <w:top w:val="single" w:color="auto" w:sz="4" w:space="0"/>
              <w:left w:val="nil"/>
              <w:bottom w:val="single" w:color="auto" w:sz="4" w:space="0"/>
              <w:right w:val="single" w:color="auto" w:sz="8" w:space="0"/>
            </w:tcBorders>
            <w:shd w:val="clear" w:color="auto" w:fill="auto"/>
            <w:noWrap w:val="0"/>
            <w:vAlign w:val="center"/>
          </w:tcPr>
          <w:p w14:paraId="28FDB9A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镇海区招宝山街道火神庙2号505室</w:t>
            </w:r>
          </w:p>
        </w:tc>
        <w:tc>
          <w:tcPr>
            <w:tcW w:w="518" w:type="pct"/>
            <w:tcBorders>
              <w:top w:val="single" w:color="auto" w:sz="4" w:space="0"/>
              <w:left w:val="nil"/>
              <w:bottom w:val="single" w:color="auto" w:sz="4" w:space="0"/>
              <w:right w:val="single" w:color="auto" w:sz="8" w:space="0"/>
            </w:tcBorders>
            <w:shd w:val="clear" w:color="auto" w:fill="auto"/>
            <w:noWrap w:val="0"/>
            <w:vAlign w:val="center"/>
          </w:tcPr>
          <w:p w14:paraId="50ED7EEE">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住宅</w:t>
            </w:r>
          </w:p>
        </w:tc>
        <w:tc>
          <w:tcPr>
            <w:tcW w:w="868" w:type="pct"/>
            <w:tcBorders>
              <w:top w:val="single" w:color="auto" w:sz="4" w:space="0"/>
              <w:left w:val="nil"/>
              <w:bottom w:val="single" w:color="auto" w:sz="4" w:space="0"/>
              <w:right w:val="single" w:color="auto" w:sz="8" w:space="0"/>
            </w:tcBorders>
            <w:shd w:val="clear" w:color="auto" w:fill="auto"/>
            <w:noWrap w:val="0"/>
            <w:vAlign w:val="center"/>
          </w:tcPr>
          <w:p w14:paraId="63B70041">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63.25</w:t>
            </w:r>
          </w:p>
        </w:tc>
        <w:tc>
          <w:tcPr>
            <w:tcW w:w="879" w:type="pct"/>
            <w:tcBorders>
              <w:top w:val="single" w:color="auto" w:sz="4" w:space="0"/>
              <w:left w:val="nil"/>
              <w:bottom w:val="single" w:color="auto" w:sz="4" w:space="0"/>
              <w:right w:val="single" w:color="auto" w:sz="8" w:space="0"/>
            </w:tcBorders>
            <w:shd w:val="clear" w:color="auto" w:fill="auto"/>
            <w:noWrap w:val="0"/>
            <w:vAlign w:val="center"/>
          </w:tcPr>
          <w:p w14:paraId="0A035F55">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11000</w:t>
            </w:r>
          </w:p>
        </w:tc>
        <w:tc>
          <w:tcPr>
            <w:tcW w:w="776" w:type="pct"/>
            <w:tcBorders>
              <w:top w:val="single" w:color="auto" w:sz="4" w:space="0"/>
              <w:left w:val="nil"/>
              <w:bottom w:val="single" w:color="auto" w:sz="4" w:space="0"/>
              <w:right w:val="nil"/>
            </w:tcBorders>
            <w:shd w:val="clear" w:color="auto" w:fill="auto"/>
            <w:noWrap w:val="0"/>
            <w:vAlign w:val="center"/>
          </w:tcPr>
          <w:p w14:paraId="2129D9DB">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1000</w:t>
            </w:r>
          </w:p>
        </w:tc>
        <w:tc>
          <w:tcPr>
            <w:tcW w:w="5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66289C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
              </w:rPr>
              <w:t>3年</w:t>
            </w:r>
          </w:p>
        </w:tc>
      </w:tr>
    </w:tbl>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29</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9</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29</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w:t>
      </w:r>
      <w:bookmarkStart w:id="0" w:name="_GoBack"/>
      <w:bookmarkEnd w:id="0"/>
      <w:r>
        <w:rPr>
          <w:rFonts w:hint="eastAsia" w:ascii="宋体" w:hAnsi="宋体"/>
          <w:color w:val="auto"/>
          <w:sz w:val="24"/>
          <w:szCs w:val="24"/>
        </w:rPr>
        <w:t>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宁波明洲投资集团有限公司</w:t>
      </w:r>
      <w:r>
        <w:rPr>
          <w:rFonts w:hint="eastAsia" w:ascii="宋体" w:hAnsi="宋体" w:cs="宋体"/>
          <w:sz w:val="24"/>
          <w:szCs w:val="24"/>
          <w:u w:val="single"/>
        </w:rPr>
        <w:t>，开户银行：建设银行宁波镇海支行，账号：33101984037050162751</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38BEE36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23</w:t>
      </w:r>
      <w:r>
        <w:rPr>
          <w:rFonts w:hint="eastAsia" w:ascii="宋体" w:hAnsi="宋体" w:eastAsia="宋体" w:cs="宋体"/>
          <w:kern w:val="2"/>
          <w:sz w:val="24"/>
          <w:szCs w:val="24"/>
          <w:lang w:val="en-US" w:eastAsia="zh-CN" w:bidi="ar"/>
        </w:rPr>
        <w:t>日</w:t>
      </w:r>
    </w:p>
    <w:p w14:paraId="0FB1651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CB6AEA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p>
    <w:p w14:paraId="7D85AC1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777311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00EA5AD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00C35A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3B51C94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3B5E5B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6AA8B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66F7008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AF89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BAC18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CE953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1BA0C5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38BB0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77DE68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2C097D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967CED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417BD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82AC75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487B4A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C70DD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401820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316F2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546191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2FB1E30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DB6B1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B80A2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69F085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5E2E9F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0C36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7B2A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52C1C4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7125D6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3938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C74D0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7776FA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1C91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4EFF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5270F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5A3CCC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42BDF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341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20F28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F5B8B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926DE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B58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EDB5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4C01D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7D77111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2F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5ABCA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78A01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47458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8F5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7512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77346B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38111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DBE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736A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01BAB3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BCEFE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37AF9B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58C3FA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8151C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01AA6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77E4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033849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E971C3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34CEB0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02100EF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95ABB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2462CF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4EFFDE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60D43A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056E33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A3A9F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95697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9ACB56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9E12A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754D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0E572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4A82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340AFE2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16CCB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3123355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95C737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02FD69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5307A9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1A885BB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AF3F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02A1F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EED6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E6DEA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7.4租赁物系历史文物或木结构建筑的，租赁期间乙方应为租赁物购买相应的保险。</w:t>
      </w:r>
    </w:p>
    <w:p w14:paraId="42C264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699FF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甲方有权对乙方使用租赁物的情况进行不定期检查和监督，发现乙方有违反合同约定情形，有权要求乙方立即改正。</w:t>
      </w:r>
    </w:p>
    <w:p w14:paraId="001AE9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39AF4B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6D496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w:t>
      </w:r>
      <w:r>
        <w:rPr>
          <w:rFonts w:hint="eastAsia" w:ascii="仿宋_GB2312" w:hAnsi="仿宋_GB2312" w:eastAsia="仿宋_GB2312" w:cs="仿宋_GB2312"/>
          <w:kern w:val="0"/>
          <w:sz w:val="30"/>
          <w:szCs w:val="30"/>
          <w:lang w:val="en-US" w:eastAsia="zh-CN"/>
        </w:rPr>
        <w:t>9</w:t>
      </w:r>
      <w:r>
        <w:rPr>
          <w:rFonts w:hint="eastAsia" w:ascii="仿宋_GB2312" w:hAnsi="仿宋_GB2312" w:eastAsia="仿宋_GB2312" w:cs="仿宋_GB2312"/>
          <w:kern w:val="0"/>
          <w:sz w:val="30"/>
          <w:szCs w:val="30"/>
        </w:rPr>
        <w:t>租赁期间，乙方应确保防火、用水用电等安全，由于乙方原因或乙方管理不善而引起之火灾、漏水或渗水事故及因火灾、漏水或渗水事故而导致公共区域或相邻其他单位蒙受损失，有关损失及附带维修赔偿由乙方负责。</w:t>
      </w:r>
    </w:p>
    <w:p w14:paraId="5C822D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w:t>
      </w:r>
      <w:r>
        <w:rPr>
          <w:rFonts w:hint="eastAsia" w:ascii="仿宋_GB2312" w:hAnsi="仿宋_GB2312" w:eastAsia="仿宋_GB2312" w:cs="仿宋_GB2312"/>
          <w:kern w:val="0"/>
          <w:sz w:val="30"/>
          <w:szCs w:val="30"/>
          <w:lang w:val="en-US" w:eastAsia="zh-CN"/>
        </w:rPr>
        <w:t>0</w:t>
      </w:r>
      <w:r>
        <w:rPr>
          <w:rFonts w:hint="eastAsia" w:ascii="仿宋_GB2312" w:hAnsi="仿宋_GB2312" w:eastAsia="仿宋_GB2312" w:cs="仿宋_GB2312"/>
          <w:kern w:val="0"/>
          <w:sz w:val="30"/>
          <w:szCs w:val="30"/>
        </w:rPr>
        <w:t>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6208240">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7.11</w:t>
      </w:r>
      <w:r>
        <w:rPr>
          <w:rFonts w:hint="eastAsia" w:ascii="仿宋_GB2312" w:hAnsi="仿宋_GB2312" w:eastAsia="仿宋_GB2312" w:cs="仿宋_GB2312"/>
          <w:kern w:val="0"/>
          <w:sz w:val="30"/>
          <w:szCs w:val="30"/>
        </w:rPr>
        <w:t>乙方不得在承租房屋内存放易燃易爆等危险物品，未经甲方许可不得将有毒或爆炸物品带入房屋，如违反该义务，造成甲方或者任意第三方损失的，全部法律责任由乙方承担。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2A87EE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12</w:t>
      </w:r>
      <w:r>
        <w:rPr>
          <w:rFonts w:hint="eastAsia" w:ascii="仿宋_GB2312" w:hAnsi="仿宋_GB2312" w:eastAsia="仿宋_GB2312" w:cs="仿宋_GB2312"/>
          <w:color w:val="auto"/>
          <w:kern w:val="0"/>
          <w:sz w:val="30"/>
          <w:szCs w:val="30"/>
          <w:highlight w:val="none"/>
        </w:rPr>
        <w:t>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6BD331B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306BED9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4F153DD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274204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3A1F5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40C97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313BAA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7C98E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375F4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44C378E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05487E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3119BC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7320B9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603DA4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4F5B85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0E5F0D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31AAC9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0276A3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62D264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BFCC9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C66CA3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4864174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E4D886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0FABE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0813E4C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F49CF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6BDBFB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3AE5A1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CF3821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29AD0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17E1B4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21B0A77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0FEA2BD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4FC9EA7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1838A3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2F50A80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008E32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11737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329351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47B9E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E0B619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47C7A4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C72ABD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727971E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2B2E98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FF4DB0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63DF373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36BC5A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6ACA53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3AF1D5ED">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69556CF">
      <w:pPr>
        <w:keepNext w:val="0"/>
        <w:keepLines w:val="0"/>
        <w:pageBreakBefore w:val="0"/>
        <w:kinsoku/>
        <w:wordWrap/>
        <w:overflowPunct/>
        <w:topLinePunct w:val="0"/>
        <w:autoSpaceDE/>
        <w:autoSpaceDN/>
        <w:bidi w:val="0"/>
        <w:adjustRightInd/>
        <w:snapToGrid/>
        <w:spacing w:line="620" w:lineRule="exact"/>
        <w:jc w:val="left"/>
        <w:textAlignment w:val="auto"/>
        <w:rPr>
          <w:rFonts w:hint="eastAsia" w:ascii="仿宋_GB2312" w:hAnsi="仿宋_GB2312" w:eastAsia="仿宋_GB2312" w:cs="仿宋_GB2312"/>
          <w:sz w:val="30"/>
          <w:szCs w:val="30"/>
        </w:rPr>
      </w:pPr>
    </w:p>
    <w:p w14:paraId="44B1D8C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D56EA0E">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674BA50">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52FCDD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C25267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4550685F">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7238E81">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88504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p>
    <w:p w14:paraId="0A2F930B">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8DB549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08E705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F04FE5A">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D0A2A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E83EE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6B1EF6A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590C8BC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10D286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3640916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6064BE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3B217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8C1A54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19ABDA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2F2E33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01C4C5F2">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3310C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12565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77DF125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3154FF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890ADD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2C57013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0B18E9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FB811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BB4162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3337224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5E8478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60D19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CC1687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0195B6B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05FEFD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677497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18BA10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CABE24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62829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04764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99CB2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4389BD04">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8BA6FFC">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3C47BE53">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6EFD1030">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1395570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5EAECFC6">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80C1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1463E06A">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596D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043D929">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335A4"/>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5947E0"/>
    <w:rsid w:val="1AE91E9E"/>
    <w:rsid w:val="1B733D66"/>
    <w:rsid w:val="1D24052A"/>
    <w:rsid w:val="1DA43B34"/>
    <w:rsid w:val="1E764C8E"/>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AB4CC7"/>
    <w:rsid w:val="33BC75E5"/>
    <w:rsid w:val="375B2943"/>
    <w:rsid w:val="398A12C3"/>
    <w:rsid w:val="39A017C4"/>
    <w:rsid w:val="3A231E3E"/>
    <w:rsid w:val="3A8A447D"/>
    <w:rsid w:val="3C352550"/>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945079D"/>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9A100AE"/>
    <w:rsid w:val="79DB010B"/>
    <w:rsid w:val="7A2B4311"/>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11711</Words>
  <Characters>12207</Characters>
  <Lines>1</Lines>
  <Paragraphs>1</Paragraphs>
  <TotalTime>0</TotalTime>
  <ScaleCrop>false</ScaleCrop>
  <LinksUpToDate>false</LinksUpToDate>
  <CharactersWithSpaces>13454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2026-03-23T01:11:43Z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